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D" w:rsidRPr="000234C5" w:rsidRDefault="004607BD" w:rsidP="004607BD">
      <w:pPr>
        <w:spacing w:before="120"/>
        <w:jc w:val="center"/>
        <w:rPr>
          <w:b/>
          <w:sz w:val="22"/>
          <w:szCs w:val="22"/>
        </w:rPr>
      </w:pPr>
      <w:r w:rsidRPr="000234C5">
        <w:rPr>
          <w:b/>
          <w:sz w:val="22"/>
          <w:szCs w:val="22"/>
        </w:rPr>
        <w:t xml:space="preserve">Инвестиционная декларация </w:t>
      </w:r>
    </w:p>
    <w:p w:rsidR="004607BD" w:rsidRPr="000234C5" w:rsidRDefault="004607BD" w:rsidP="004607BD">
      <w:pPr>
        <w:pStyle w:val="6"/>
        <w:numPr>
          <w:ilvl w:val="0"/>
          <w:numId w:val="1"/>
        </w:numPr>
        <w:tabs>
          <w:tab w:val="clear" w:pos="9923"/>
          <w:tab w:val="num" w:pos="360"/>
        </w:tabs>
        <w:spacing w:before="120"/>
        <w:ind w:left="358" w:hanging="358"/>
        <w:rPr>
          <w:rFonts w:ascii="Times New Roman" w:hAnsi="Times New Roman"/>
          <w:b w:val="0"/>
          <w:sz w:val="22"/>
          <w:szCs w:val="22"/>
        </w:rPr>
      </w:pPr>
      <w:r w:rsidRPr="000234C5">
        <w:rPr>
          <w:rFonts w:ascii="Times New Roman" w:hAnsi="Times New Roman"/>
          <w:b w:val="0"/>
          <w:sz w:val="22"/>
          <w:szCs w:val="22"/>
        </w:rPr>
        <w:t>Настоящая инвестиционная декларация устанавливает цель инвестирования средств компенсационного фонда Ассоциации «Региональная саморегулируемая организация профессиональных арбитражных управляющих» (далее – Ассоциация «РСО ПАУ»), инвестиционную политику Управляющей компании, состав и структуру инвестиционного портфеля Управляющей компании.</w:t>
      </w:r>
    </w:p>
    <w:p w:rsidR="004607BD" w:rsidRPr="000234C5" w:rsidRDefault="004607BD" w:rsidP="004607BD">
      <w:pPr>
        <w:pStyle w:val="6"/>
        <w:spacing w:before="120"/>
        <w:ind w:left="358"/>
        <w:rPr>
          <w:rFonts w:ascii="Times New Roman" w:hAnsi="Times New Roman"/>
          <w:b w:val="0"/>
          <w:sz w:val="22"/>
          <w:szCs w:val="22"/>
        </w:rPr>
      </w:pPr>
      <w:r w:rsidRPr="00B92D44">
        <w:rPr>
          <w:rFonts w:ascii="Times New Roman" w:hAnsi="Times New Roman"/>
          <w:b w:val="0"/>
          <w:sz w:val="22"/>
          <w:szCs w:val="22"/>
        </w:rPr>
        <w:t>Настоящая Инвестиционная декларация утверждена решением Совета Ассоциации «РСОПАУ», Протокол №86 от «09» апреля 2019 года.</w:t>
      </w:r>
    </w:p>
    <w:p w:rsidR="004607BD" w:rsidRPr="000234C5" w:rsidRDefault="004607BD" w:rsidP="004607BD">
      <w:pPr>
        <w:pStyle w:val="6"/>
        <w:numPr>
          <w:ilvl w:val="0"/>
          <w:numId w:val="1"/>
        </w:numPr>
        <w:tabs>
          <w:tab w:val="clear" w:pos="9923"/>
          <w:tab w:val="num" w:pos="360"/>
        </w:tabs>
        <w:spacing w:before="120"/>
        <w:ind w:left="358" w:hanging="358"/>
        <w:rPr>
          <w:rFonts w:ascii="Times New Roman" w:hAnsi="Times New Roman"/>
          <w:b w:val="0"/>
          <w:sz w:val="22"/>
          <w:szCs w:val="22"/>
        </w:rPr>
      </w:pPr>
      <w:proofErr w:type="gramStart"/>
      <w:r w:rsidRPr="000234C5">
        <w:rPr>
          <w:rFonts w:ascii="Times New Roman" w:hAnsi="Times New Roman"/>
          <w:b w:val="0"/>
          <w:sz w:val="22"/>
          <w:szCs w:val="22"/>
        </w:rPr>
        <w:t>Целью инвестирования средств компенсационного фонда, переданных Ассоциацией «РСО ПАУ» в доверительное управление, является сохранение и прирост средств компенсационного фонда для обеспечения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арбитражными управляющими – членами Ассоциации «РСО ПАУ» возложенных на них обязанностей в деле о банкротстве.</w:t>
      </w:r>
      <w:proofErr w:type="gramEnd"/>
    </w:p>
    <w:p w:rsidR="004607BD" w:rsidRPr="000234C5" w:rsidRDefault="004607BD" w:rsidP="004607BD">
      <w:pPr>
        <w:pStyle w:val="6"/>
        <w:numPr>
          <w:ilvl w:val="0"/>
          <w:numId w:val="1"/>
        </w:numPr>
        <w:tabs>
          <w:tab w:val="clear" w:pos="9923"/>
          <w:tab w:val="num" w:pos="360"/>
        </w:tabs>
        <w:spacing w:before="120"/>
        <w:ind w:left="358" w:hanging="358"/>
        <w:rPr>
          <w:rFonts w:ascii="Times New Roman" w:hAnsi="Times New Roman"/>
          <w:b w:val="0"/>
          <w:sz w:val="22"/>
          <w:szCs w:val="22"/>
        </w:rPr>
      </w:pPr>
      <w:r w:rsidRPr="000234C5">
        <w:rPr>
          <w:rFonts w:ascii="Times New Roman" w:hAnsi="Times New Roman"/>
          <w:b w:val="0"/>
          <w:sz w:val="22"/>
          <w:szCs w:val="22"/>
        </w:rPr>
        <w:t>В основе инвестиционной политики Управляющей компании лежит стратегия сохранения и увеличения капитала, предполагающая использование системы контроля рисков для получения среднего стабильного дохода при минимальном уровне риска в целях сохранения и приумножения средств компенсационного фонда, находящихся в доверительном управлении Управляющей компании.</w:t>
      </w:r>
    </w:p>
    <w:p w:rsidR="004607BD" w:rsidRPr="000234C5" w:rsidRDefault="004607BD" w:rsidP="004607BD">
      <w:pPr>
        <w:pStyle w:val="6"/>
        <w:numPr>
          <w:ilvl w:val="0"/>
          <w:numId w:val="1"/>
        </w:numPr>
        <w:tabs>
          <w:tab w:val="clear" w:pos="9923"/>
          <w:tab w:val="num" w:pos="360"/>
        </w:tabs>
        <w:spacing w:before="120"/>
        <w:ind w:left="358" w:hanging="358"/>
        <w:rPr>
          <w:rFonts w:ascii="Times New Roman" w:hAnsi="Times New Roman"/>
          <w:b w:val="0"/>
          <w:sz w:val="22"/>
          <w:szCs w:val="22"/>
        </w:rPr>
      </w:pPr>
      <w:r w:rsidRPr="000234C5">
        <w:rPr>
          <w:rFonts w:ascii="Times New Roman" w:hAnsi="Times New Roman"/>
          <w:b w:val="0"/>
          <w:sz w:val="22"/>
          <w:szCs w:val="22"/>
        </w:rPr>
        <w:t>Средства компенсационного фонда размещаются в соответствии с настоящей Инвестиционной декларацией и с учётом ограничений, уст</w:t>
      </w:r>
      <w:r w:rsidRPr="000234C5">
        <w:rPr>
          <w:rFonts w:ascii="Times New Roman" w:hAnsi="Times New Roman"/>
          <w:b w:val="0"/>
          <w:sz w:val="22"/>
          <w:szCs w:val="22"/>
        </w:rPr>
        <w:t>а</w:t>
      </w:r>
      <w:r w:rsidRPr="000234C5">
        <w:rPr>
          <w:rFonts w:ascii="Times New Roman" w:hAnsi="Times New Roman"/>
          <w:b w:val="0"/>
          <w:sz w:val="22"/>
          <w:szCs w:val="22"/>
        </w:rPr>
        <w:t>новленных Федеральным законом от 26.10.2002 г. №127</w:t>
      </w:r>
      <w:r>
        <w:rPr>
          <w:rFonts w:ascii="Times New Roman" w:hAnsi="Times New Roman"/>
          <w:b w:val="0"/>
          <w:sz w:val="22"/>
          <w:szCs w:val="22"/>
        </w:rPr>
        <w:t>-</w:t>
      </w:r>
      <w:r w:rsidRPr="000234C5">
        <w:rPr>
          <w:rFonts w:ascii="Times New Roman" w:hAnsi="Times New Roman"/>
          <w:b w:val="0"/>
          <w:sz w:val="22"/>
          <w:szCs w:val="22"/>
        </w:rPr>
        <w:t>ФЗ «О несостоятельности (банкротстве)».</w:t>
      </w:r>
    </w:p>
    <w:p w:rsidR="004607BD" w:rsidRPr="000234C5" w:rsidRDefault="004607BD" w:rsidP="004607BD">
      <w:pPr>
        <w:pStyle w:val="6"/>
        <w:numPr>
          <w:ilvl w:val="0"/>
          <w:numId w:val="1"/>
        </w:numPr>
        <w:tabs>
          <w:tab w:val="clear" w:pos="9923"/>
          <w:tab w:val="num" w:pos="360"/>
        </w:tabs>
        <w:spacing w:before="120"/>
        <w:ind w:left="358" w:hanging="358"/>
        <w:rPr>
          <w:rFonts w:ascii="Times New Roman" w:hAnsi="Times New Roman"/>
          <w:b w:val="0"/>
          <w:sz w:val="22"/>
          <w:szCs w:val="22"/>
        </w:rPr>
      </w:pPr>
      <w:r w:rsidRPr="000234C5">
        <w:rPr>
          <w:rFonts w:ascii="Times New Roman" w:hAnsi="Times New Roman"/>
          <w:b w:val="0"/>
          <w:sz w:val="22"/>
          <w:szCs w:val="22"/>
        </w:rPr>
        <w:t>Состав и структура активов, в которые Управляющей компанией могут быть инвестированы средства компенсационного фонда Ассоциации «РСО ПАУ»:</w:t>
      </w:r>
    </w:p>
    <w:p w:rsidR="004607BD" w:rsidRPr="000234C5" w:rsidRDefault="004607BD" w:rsidP="004607B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717"/>
        <w:gridCol w:w="2626"/>
        <w:gridCol w:w="2690"/>
      </w:tblGrid>
      <w:tr w:rsidR="004607BD" w:rsidRPr="000234C5" w:rsidTr="005A161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 xml:space="preserve">№ </w:t>
            </w:r>
            <w:proofErr w:type="gramStart"/>
            <w:r w:rsidRPr="000234C5">
              <w:rPr>
                <w:sz w:val="22"/>
                <w:szCs w:val="22"/>
              </w:rPr>
              <w:t>п</w:t>
            </w:r>
            <w:proofErr w:type="gramEnd"/>
            <w:r w:rsidRPr="000234C5">
              <w:rPr>
                <w:sz w:val="22"/>
                <w:szCs w:val="22"/>
              </w:rPr>
              <w:t>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Вид актива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Минимальная</w:t>
            </w:r>
          </w:p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доля актива в инвестиционном портфеле управляющей компании</w:t>
            </w:r>
          </w:p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(процентов)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Максимальная</w:t>
            </w:r>
          </w:p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доля актива в инвестиционном портфеле управляющей компании</w:t>
            </w:r>
          </w:p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(процентов)</w:t>
            </w:r>
          </w:p>
        </w:tc>
      </w:tr>
      <w:tr w:rsidR="004607BD" w:rsidRPr="000234C5" w:rsidTr="005A161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4</w:t>
            </w:r>
          </w:p>
        </w:tc>
      </w:tr>
      <w:tr w:rsidR="004607BD" w:rsidRPr="000234C5" w:rsidTr="005A161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607BD" w:rsidRPr="000234C5" w:rsidRDefault="004607BD" w:rsidP="005A161D">
            <w:pPr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Государственные ценные бумаги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20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  <w:lang w:val="en-US"/>
              </w:rPr>
            </w:pPr>
            <w:r w:rsidRPr="000234C5">
              <w:rPr>
                <w:sz w:val="22"/>
                <w:szCs w:val="22"/>
                <w:lang w:val="en-US"/>
              </w:rPr>
              <w:t>80</w:t>
            </w:r>
          </w:p>
        </w:tc>
      </w:tr>
      <w:tr w:rsidR="004607BD" w:rsidRPr="000234C5" w:rsidTr="005A161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607BD" w:rsidRPr="000234C5" w:rsidRDefault="004607BD" w:rsidP="005A161D">
            <w:pPr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Государственные ценные бумаги субъектов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  <w:lang w:val="en-US"/>
              </w:rPr>
            </w:pPr>
            <w:r w:rsidRPr="000234C5">
              <w:rPr>
                <w:sz w:val="22"/>
                <w:szCs w:val="22"/>
                <w:lang w:val="en-US"/>
              </w:rPr>
              <w:t>30</w:t>
            </w:r>
          </w:p>
        </w:tc>
      </w:tr>
      <w:tr w:rsidR="004607BD" w:rsidRPr="000234C5" w:rsidTr="005A161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607BD" w:rsidRPr="000234C5" w:rsidRDefault="004607BD" w:rsidP="005A161D">
            <w:pPr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 xml:space="preserve">Облигации российских эмитентов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  <w:lang w:val="en-US"/>
              </w:rPr>
            </w:pPr>
            <w:r w:rsidRPr="000234C5">
              <w:rPr>
                <w:sz w:val="22"/>
                <w:szCs w:val="22"/>
                <w:lang w:val="en-US"/>
              </w:rPr>
              <w:t>30</w:t>
            </w:r>
          </w:p>
        </w:tc>
      </w:tr>
      <w:tr w:rsidR="004607BD" w:rsidRPr="000234C5" w:rsidTr="005A161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4607BD" w:rsidRPr="000234C5" w:rsidRDefault="004607BD" w:rsidP="005A1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Акции российских эмитентов, созданных в форме открытых акционерных обществ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607BD" w:rsidRPr="001A22D8" w:rsidRDefault="004607BD" w:rsidP="005A1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607BD" w:rsidRPr="000234C5" w:rsidTr="005A161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5.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607BD" w:rsidRPr="000234C5" w:rsidRDefault="004607BD" w:rsidP="005A161D">
            <w:pPr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Денежные средства в рублях на счетах в российских кредитных организациях, в том числе депозиты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  <w:lang w:val="en-US"/>
              </w:rPr>
            </w:pPr>
            <w:r w:rsidRPr="000234C5">
              <w:rPr>
                <w:sz w:val="22"/>
                <w:szCs w:val="22"/>
                <w:lang w:val="en-US"/>
              </w:rPr>
              <w:t>30</w:t>
            </w:r>
          </w:p>
        </w:tc>
      </w:tr>
      <w:tr w:rsidR="004607BD" w:rsidRPr="000234C5" w:rsidTr="005A161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780" w:type="dxa"/>
            <w:shd w:val="clear" w:color="auto" w:fill="auto"/>
          </w:tcPr>
          <w:p w:rsidR="004607BD" w:rsidRPr="000234C5" w:rsidRDefault="004607BD" w:rsidP="005A161D">
            <w:pPr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Иностранная валюта (евро) на счетах в российских кредитных организациях, в том числе депозиты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  <w:lang w:val="en-US"/>
              </w:rPr>
            </w:pPr>
            <w:r w:rsidRPr="000234C5">
              <w:rPr>
                <w:sz w:val="22"/>
                <w:szCs w:val="22"/>
                <w:lang w:val="en-US"/>
              </w:rPr>
              <w:t>50</w:t>
            </w:r>
          </w:p>
        </w:tc>
      </w:tr>
      <w:tr w:rsidR="004607BD" w:rsidRPr="000234C5" w:rsidTr="005A161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4607BD" w:rsidRPr="000234C5" w:rsidRDefault="004607BD" w:rsidP="005A161D">
            <w:pPr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Иностранная валюта (доллары США) на счетах в российских кредитных организациях, в том числе депозиты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</w:rPr>
            </w:pPr>
            <w:r w:rsidRPr="000234C5">
              <w:rPr>
                <w:sz w:val="22"/>
                <w:szCs w:val="22"/>
              </w:rPr>
              <w:t>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607BD" w:rsidRPr="000234C5" w:rsidRDefault="004607BD" w:rsidP="005A161D">
            <w:pPr>
              <w:jc w:val="center"/>
              <w:rPr>
                <w:sz w:val="22"/>
                <w:szCs w:val="22"/>
                <w:lang w:val="en-US"/>
              </w:rPr>
            </w:pPr>
            <w:r w:rsidRPr="000234C5">
              <w:rPr>
                <w:sz w:val="22"/>
                <w:szCs w:val="22"/>
                <w:lang w:val="en-US"/>
              </w:rPr>
              <w:t>50</w:t>
            </w:r>
          </w:p>
        </w:tc>
      </w:tr>
    </w:tbl>
    <w:p w:rsidR="004607BD" w:rsidRPr="000234C5" w:rsidRDefault="004607BD" w:rsidP="004607BD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При этом:</w:t>
      </w:r>
    </w:p>
    <w:p w:rsidR="004607BD" w:rsidRPr="0083077F" w:rsidRDefault="004607BD" w:rsidP="004607BD">
      <w:pPr>
        <w:numPr>
          <w:ilvl w:val="0"/>
          <w:numId w:val="2"/>
        </w:numPr>
        <w:tabs>
          <w:tab w:val="clear" w:pos="2433"/>
          <w:tab w:val="left" w:pos="360"/>
          <w:tab w:val="left" w:pos="720"/>
        </w:tabs>
        <w:ind w:left="360" w:firstLine="0"/>
        <w:jc w:val="both"/>
        <w:rPr>
          <w:sz w:val="22"/>
          <w:szCs w:val="22"/>
        </w:rPr>
      </w:pPr>
      <w:r w:rsidRPr="000234C5">
        <w:rPr>
          <w:sz w:val="22"/>
          <w:szCs w:val="22"/>
        </w:rPr>
        <w:t xml:space="preserve">доли актива в инвестиционном портфеле Управляющей компании рассчитываются </w:t>
      </w:r>
      <w:r w:rsidRPr="0083077F">
        <w:rPr>
          <w:sz w:val="22"/>
          <w:szCs w:val="22"/>
        </w:rPr>
        <w:t>относительно Стоимости чистых активов (СЧА);</w:t>
      </w:r>
    </w:p>
    <w:p w:rsidR="004607BD" w:rsidRPr="0083077F" w:rsidRDefault="004607BD" w:rsidP="004607BD">
      <w:pPr>
        <w:numPr>
          <w:ilvl w:val="0"/>
          <w:numId w:val="2"/>
        </w:numPr>
        <w:tabs>
          <w:tab w:val="clear" w:pos="2433"/>
          <w:tab w:val="left" w:pos="360"/>
          <w:tab w:val="left" w:pos="720"/>
        </w:tabs>
        <w:ind w:left="360" w:firstLine="0"/>
        <w:jc w:val="both"/>
        <w:rPr>
          <w:sz w:val="22"/>
          <w:szCs w:val="22"/>
        </w:rPr>
      </w:pPr>
      <w:r w:rsidRPr="0083077F">
        <w:rPr>
          <w:sz w:val="22"/>
          <w:szCs w:val="22"/>
        </w:rPr>
        <w:lastRenderedPageBreak/>
        <w:t>средства компенсационного фонда могут быть размещены в активы, указанные в подпунктах 1. - 4. настоящего пункта, только в случае, если они обращаются на организованном рынке ценных бумаг;</w:t>
      </w:r>
    </w:p>
    <w:p w:rsidR="004607BD" w:rsidRPr="000234C5" w:rsidRDefault="004607BD" w:rsidP="004607BD">
      <w:pPr>
        <w:numPr>
          <w:ilvl w:val="0"/>
          <w:numId w:val="2"/>
        </w:numPr>
        <w:tabs>
          <w:tab w:val="clear" w:pos="2433"/>
          <w:tab w:val="left" w:pos="360"/>
          <w:tab w:val="left" w:pos="720"/>
        </w:tabs>
        <w:ind w:left="360" w:firstLine="0"/>
        <w:jc w:val="both"/>
        <w:rPr>
          <w:sz w:val="22"/>
          <w:szCs w:val="22"/>
        </w:rPr>
      </w:pPr>
      <w:proofErr w:type="gramStart"/>
      <w:r w:rsidRPr="0083077F">
        <w:rPr>
          <w:sz w:val="22"/>
          <w:szCs w:val="22"/>
        </w:rPr>
        <w:t>средства компенсационного</w:t>
      </w:r>
      <w:r w:rsidRPr="000234C5">
        <w:rPr>
          <w:sz w:val="22"/>
          <w:szCs w:val="22"/>
        </w:rPr>
        <w:t xml:space="preserve"> фонда могут быть размещены в активы, указанные в подпунктах 2. - 3. настоящего пункта, только при условии соответствия уровня рейтинга долгосрочной кредитоспособности выпуска (при отсутствии рейтинга выпуска - эмитента) ценных бумаг по классификации хотя бы одного из рейтинговых агентств "</w:t>
      </w:r>
      <w:proofErr w:type="spellStart"/>
      <w:r w:rsidRPr="000234C5">
        <w:rPr>
          <w:sz w:val="22"/>
          <w:szCs w:val="22"/>
        </w:rPr>
        <w:t>Фитч</w:t>
      </w:r>
      <w:proofErr w:type="spellEnd"/>
      <w:r w:rsidRPr="000234C5">
        <w:rPr>
          <w:sz w:val="22"/>
          <w:szCs w:val="22"/>
        </w:rPr>
        <w:t xml:space="preserve"> </w:t>
      </w:r>
      <w:proofErr w:type="spellStart"/>
      <w:r w:rsidRPr="000234C5">
        <w:rPr>
          <w:sz w:val="22"/>
          <w:szCs w:val="22"/>
        </w:rPr>
        <w:t>Рейтингс</w:t>
      </w:r>
      <w:proofErr w:type="spellEnd"/>
      <w:r w:rsidRPr="000234C5">
        <w:rPr>
          <w:sz w:val="22"/>
          <w:szCs w:val="22"/>
        </w:rPr>
        <w:t>" (</w:t>
      </w:r>
      <w:proofErr w:type="spellStart"/>
      <w:r w:rsidRPr="000234C5">
        <w:rPr>
          <w:sz w:val="22"/>
          <w:szCs w:val="22"/>
        </w:rPr>
        <w:t>Fitch</w:t>
      </w:r>
      <w:proofErr w:type="spellEnd"/>
      <w:r w:rsidRPr="000234C5">
        <w:rPr>
          <w:sz w:val="22"/>
          <w:szCs w:val="22"/>
        </w:rPr>
        <w:t xml:space="preserve"> </w:t>
      </w:r>
      <w:proofErr w:type="spellStart"/>
      <w:r w:rsidRPr="000234C5">
        <w:rPr>
          <w:sz w:val="22"/>
          <w:szCs w:val="22"/>
        </w:rPr>
        <w:t>Ratings</w:t>
      </w:r>
      <w:proofErr w:type="spellEnd"/>
      <w:r w:rsidRPr="000234C5">
        <w:rPr>
          <w:sz w:val="22"/>
          <w:szCs w:val="22"/>
        </w:rPr>
        <w:t xml:space="preserve">), "Стандарт энд </w:t>
      </w:r>
      <w:proofErr w:type="spellStart"/>
      <w:r w:rsidRPr="000234C5">
        <w:rPr>
          <w:sz w:val="22"/>
          <w:szCs w:val="22"/>
        </w:rPr>
        <w:t>Пурс</w:t>
      </w:r>
      <w:proofErr w:type="spellEnd"/>
      <w:r w:rsidRPr="000234C5">
        <w:rPr>
          <w:sz w:val="22"/>
          <w:szCs w:val="22"/>
        </w:rPr>
        <w:t>" (</w:t>
      </w:r>
      <w:proofErr w:type="spellStart"/>
      <w:r w:rsidRPr="000234C5">
        <w:rPr>
          <w:sz w:val="22"/>
          <w:szCs w:val="22"/>
        </w:rPr>
        <w:t>Standard</w:t>
      </w:r>
      <w:proofErr w:type="spellEnd"/>
      <w:r w:rsidRPr="000234C5">
        <w:rPr>
          <w:sz w:val="22"/>
          <w:szCs w:val="22"/>
        </w:rPr>
        <w:t xml:space="preserve"> &amp; </w:t>
      </w:r>
      <w:proofErr w:type="spellStart"/>
      <w:r w:rsidRPr="000234C5">
        <w:rPr>
          <w:sz w:val="22"/>
          <w:szCs w:val="22"/>
        </w:rPr>
        <w:t>Poor's</w:t>
      </w:r>
      <w:proofErr w:type="spellEnd"/>
      <w:r w:rsidRPr="000234C5">
        <w:rPr>
          <w:sz w:val="22"/>
          <w:szCs w:val="22"/>
        </w:rPr>
        <w:t>), "</w:t>
      </w:r>
      <w:proofErr w:type="spellStart"/>
      <w:r w:rsidRPr="000234C5">
        <w:rPr>
          <w:sz w:val="22"/>
          <w:szCs w:val="22"/>
        </w:rPr>
        <w:t>Мудис</w:t>
      </w:r>
      <w:proofErr w:type="spellEnd"/>
      <w:r w:rsidRPr="000234C5">
        <w:rPr>
          <w:sz w:val="22"/>
          <w:szCs w:val="22"/>
        </w:rPr>
        <w:t xml:space="preserve"> </w:t>
      </w:r>
      <w:proofErr w:type="spellStart"/>
      <w:r w:rsidRPr="000234C5">
        <w:rPr>
          <w:sz w:val="22"/>
          <w:szCs w:val="22"/>
        </w:rPr>
        <w:t>Инвесторс</w:t>
      </w:r>
      <w:proofErr w:type="spellEnd"/>
      <w:r w:rsidRPr="000234C5">
        <w:rPr>
          <w:sz w:val="22"/>
          <w:szCs w:val="22"/>
        </w:rPr>
        <w:t xml:space="preserve"> Сервис" (</w:t>
      </w:r>
      <w:proofErr w:type="spellStart"/>
      <w:r w:rsidRPr="000234C5">
        <w:rPr>
          <w:sz w:val="22"/>
          <w:szCs w:val="22"/>
        </w:rPr>
        <w:t>Moody's</w:t>
      </w:r>
      <w:proofErr w:type="spellEnd"/>
      <w:r w:rsidRPr="000234C5">
        <w:rPr>
          <w:sz w:val="22"/>
          <w:szCs w:val="22"/>
        </w:rPr>
        <w:t xml:space="preserve"> </w:t>
      </w:r>
      <w:proofErr w:type="spellStart"/>
      <w:r w:rsidRPr="000234C5">
        <w:rPr>
          <w:sz w:val="22"/>
          <w:szCs w:val="22"/>
        </w:rPr>
        <w:t>Investors</w:t>
      </w:r>
      <w:proofErr w:type="spellEnd"/>
      <w:r w:rsidRPr="000234C5">
        <w:rPr>
          <w:sz w:val="22"/>
          <w:szCs w:val="22"/>
        </w:rPr>
        <w:t xml:space="preserve"> </w:t>
      </w:r>
      <w:proofErr w:type="spellStart"/>
      <w:r w:rsidRPr="000234C5">
        <w:rPr>
          <w:sz w:val="22"/>
          <w:szCs w:val="22"/>
        </w:rPr>
        <w:t>Service</w:t>
      </w:r>
      <w:proofErr w:type="spellEnd"/>
      <w:r w:rsidRPr="000234C5">
        <w:rPr>
          <w:sz w:val="22"/>
          <w:szCs w:val="22"/>
        </w:rPr>
        <w:t>) не ниже суверенного рейтинга</w:t>
      </w:r>
      <w:proofErr w:type="gramEnd"/>
      <w:r w:rsidRPr="000234C5">
        <w:rPr>
          <w:sz w:val="22"/>
          <w:szCs w:val="22"/>
        </w:rPr>
        <w:t xml:space="preserve"> Российской Федерации в соответствующей валюте, </w:t>
      </w:r>
      <w:proofErr w:type="gramStart"/>
      <w:r w:rsidRPr="000234C5">
        <w:rPr>
          <w:sz w:val="22"/>
          <w:szCs w:val="22"/>
        </w:rPr>
        <w:t>присвоенного</w:t>
      </w:r>
      <w:proofErr w:type="gramEnd"/>
      <w:r w:rsidRPr="000234C5">
        <w:rPr>
          <w:sz w:val="22"/>
          <w:szCs w:val="22"/>
        </w:rPr>
        <w:t xml:space="preserve"> соответствующим рейтинговым агентством, сниженного на три ступени;</w:t>
      </w:r>
    </w:p>
    <w:p w:rsidR="004607BD" w:rsidRPr="000234C5" w:rsidRDefault="004607BD" w:rsidP="004607BD">
      <w:pPr>
        <w:numPr>
          <w:ilvl w:val="0"/>
          <w:numId w:val="2"/>
        </w:numPr>
        <w:tabs>
          <w:tab w:val="clear" w:pos="2433"/>
          <w:tab w:val="left" w:pos="360"/>
          <w:tab w:val="left" w:pos="720"/>
        </w:tabs>
        <w:ind w:left="360" w:firstLine="0"/>
        <w:jc w:val="both"/>
        <w:rPr>
          <w:sz w:val="22"/>
          <w:szCs w:val="22"/>
        </w:rPr>
      </w:pPr>
      <w:r w:rsidRPr="000234C5">
        <w:rPr>
          <w:sz w:val="22"/>
          <w:szCs w:val="22"/>
        </w:rPr>
        <w:t xml:space="preserve">активы, указанные в подпунктах 2. - </w:t>
      </w:r>
      <w:r>
        <w:rPr>
          <w:sz w:val="22"/>
          <w:szCs w:val="22"/>
        </w:rPr>
        <w:t>3</w:t>
      </w:r>
      <w:r w:rsidRPr="000234C5">
        <w:rPr>
          <w:sz w:val="22"/>
          <w:szCs w:val="22"/>
        </w:rPr>
        <w:t>.</w:t>
      </w:r>
      <w:r>
        <w:rPr>
          <w:sz w:val="22"/>
          <w:szCs w:val="22"/>
        </w:rPr>
        <w:t>, 5.</w:t>
      </w:r>
      <w:r w:rsidRPr="000234C5">
        <w:rPr>
          <w:sz w:val="22"/>
          <w:szCs w:val="22"/>
        </w:rPr>
        <w:t xml:space="preserve"> настоящего пункта, могут составлять в совокупности не более 30 (тридцати) процентов СЧА;</w:t>
      </w:r>
    </w:p>
    <w:p w:rsidR="004607BD" w:rsidRPr="000234C5" w:rsidRDefault="004607BD" w:rsidP="004607BD">
      <w:pPr>
        <w:numPr>
          <w:ilvl w:val="0"/>
          <w:numId w:val="2"/>
        </w:numPr>
        <w:tabs>
          <w:tab w:val="clear" w:pos="2433"/>
          <w:tab w:val="left" w:pos="360"/>
          <w:tab w:val="left" w:pos="720"/>
        </w:tabs>
        <w:ind w:left="360" w:firstLine="0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ценные бумаги одного эмитента, за исключением государственных ценных бумаг Российской Федерации, могут составлять не более чем 5 (пять) процентов СЧА.</w:t>
      </w:r>
    </w:p>
    <w:p w:rsidR="004607BD" w:rsidRPr="000234C5" w:rsidRDefault="004607BD" w:rsidP="004607BD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</w:p>
    <w:p w:rsidR="004607BD" w:rsidRPr="000234C5" w:rsidRDefault="004607BD" w:rsidP="004607BD">
      <w:pPr>
        <w:numPr>
          <w:ilvl w:val="0"/>
          <w:numId w:val="1"/>
        </w:numPr>
        <w:tabs>
          <w:tab w:val="clear" w:pos="1260"/>
          <w:tab w:val="num" w:pos="360"/>
          <w:tab w:val="left" w:pos="720"/>
        </w:tabs>
        <w:spacing w:after="120"/>
        <w:ind w:left="357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Не допускается размещение средств компенсационного фонда в иные объекты инвестирования, прямо не предусмотренные настоящей Инвестиционной декларацией.</w:t>
      </w:r>
    </w:p>
    <w:p w:rsidR="004607BD" w:rsidRPr="000234C5" w:rsidRDefault="004607BD" w:rsidP="004607BD">
      <w:pPr>
        <w:numPr>
          <w:ilvl w:val="0"/>
          <w:numId w:val="1"/>
        </w:numPr>
        <w:tabs>
          <w:tab w:val="clear" w:pos="1260"/>
          <w:tab w:val="num" w:pos="360"/>
          <w:tab w:val="left" w:pos="720"/>
        </w:tabs>
        <w:spacing w:after="120"/>
        <w:ind w:left="357" w:hanging="357"/>
        <w:jc w:val="both"/>
        <w:rPr>
          <w:sz w:val="22"/>
          <w:szCs w:val="22"/>
        </w:rPr>
      </w:pPr>
      <w:proofErr w:type="gramStart"/>
      <w:r w:rsidRPr="000234C5">
        <w:rPr>
          <w:sz w:val="22"/>
          <w:szCs w:val="22"/>
        </w:rPr>
        <w:t>В случае нарушения требований к максимальной доле определенного класса активов в структуре инвестиционного портфеля из-за изменения рыночной или оценочной стоимости активов и/или изменения в структуре собственности эмитента, Управляющая компания обязуется скорректировать структуру активов в соответствии с требованиями к структуре инвестиционного портфеля в течение 6 (шести) месяцев с даты обнаружения указанного нарушения.</w:t>
      </w:r>
      <w:proofErr w:type="gramEnd"/>
    </w:p>
    <w:p w:rsidR="004607BD" w:rsidRPr="000234C5" w:rsidRDefault="004607BD" w:rsidP="004607BD">
      <w:pPr>
        <w:numPr>
          <w:ilvl w:val="0"/>
          <w:numId w:val="1"/>
        </w:numPr>
        <w:tabs>
          <w:tab w:val="clear" w:pos="1260"/>
          <w:tab w:val="num" w:pos="360"/>
          <w:tab w:val="left" w:pos="720"/>
        </w:tabs>
        <w:spacing w:after="120"/>
        <w:ind w:left="357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 xml:space="preserve">В случае нарушения требований к максимальной доле определенного класса активов в структуре инвестиционного портфеля в результате действий Управляющей компании, Управляющая компания обязана устранить нарушение в течение 30 (тридцати) дней </w:t>
      </w:r>
      <w:proofErr w:type="gramStart"/>
      <w:r w:rsidRPr="000234C5">
        <w:rPr>
          <w:sz w:val="22"/>
          <w:szCs w:val="22"/>
        </w:rPr>
        <w:t>с даты обнаружения</w:t>
      </w:r>
      <w:proofErr w:type="gramEnd"/>
      <w:r w:rsidRPr="000234C5">
        <w:rPr>
          <w:sz w:val="22"/>
          <w:szCs w:val="22"/>
        </w:rPr>
        <w:t xml:space="preserve"> указанного нарушения.</w:t>
      </w:r>
    </w:p>
    <w:p w:rsidR="004607BD" w:rsidRPr="000234C5" w:rsidRDefault="004607BD" w:rsidP="004607BD">
      <w:pPr>
        <w:numPr>
          <w:ilvl w:val="0"/>
          <w:numId w:val="1"/>
        </w:numPr>
        <w:tabs>
          <w:tab w:val="clear" w:pos="1260"/>
          <w:tab w:val="num" w:pos="360"/>
          <w:tab w:val="left" w:pos="720"/>
        </w:tabs>
        <w:spacing w:after="120"/>
        <w:ind w:left="357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Несоответствие структуры и состава активов компенсационного фонда в момент передачи средств компенсационного фонда в доверительное управление, а также в момент передачи дополнительных сре</w:t>
      </w:r>
      <w:proofErr w:type="gramStart"/>
      <w:r w:rsidRPr="000234C5">
        <w:rPr>
          <w:sz w:val="22"/>
          <w:szCs w:val="22"/>
        </w:rPr>
        <w:t>дств в д</w:t>
      </w:r>
      <w:proofErr w:type="gramEnd"/>
      <w:r w:rsidRPr="000234C5">
        <w:rPr>
          <w:sz w:val="22"/>
          <w:szCs w:val="22"/>
        </w:rPr>
        <w:t>оверительное управление не считается нарушением требований настоящей Инвестиционной декларации при условии, что Управляющая компания устранила такое несоответствие в течение 10 (десяти) рабочих дней с момента передачи.</w:t>
      </w:r>
    </w:p>
    <w:p w:rsidR="004607BD" w:rsidRPr="000234C5" w:rsidRDefault="004607BD" w:rsidP="004607BD">
      <w:pPr>
        <w:tabs>
          <w:tab w:val="left" w:pos="720"/>
        </w:tabs>
        <w:spacing w:after="120"/>
        <w:ind w:left="360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Не является нарушением требований настоящей Инвестиционной декларации несоответствие состава и структуры активов компенсационного фонда, возникающее в момент вывода средств из доверительного управления по требованию Ассоциации «РСО ПАУ» в соответствии с Договором.</w:t>
      </w:r>
    </w:p>
    <w:p w:rsidR="004607BD" w:rsidRPr="000234C5" w:rsidRDefault="004607BD" w:rsidP="004607BD">
      <w:pPr>
        <w:numPr>
          <w:ilvl w:val="0"/>
          <w:numId w:val="1"/>
        </w:numPr>
        <w:tabs>
          <w:tab w:val="clear" w:pos="1260"/>
          <w:tab w:val="num" w:pos="360"/>
          <w:tab w:val="left" w:pos="720"/>
        </w:tabs>
        <w:spacing w:after="120"/>
        <w:ind w:left="357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 xml:space="preserve">Если в результате </w:t>
      </w:r>
      <w:proofErr w:type="gramStart"/>
      <w:r w:rsidRPr="000234C5">
        <w:rPr>
          <w:sz w:val="22"/>
          <w:szCs w:val="22"/>
        </w:rPr>
        <w:t>изменения действующего законодательства Российской Федерации положения настоящей Инвестиционной декларации</w:t>
      </w:r>
      <w:proofErr w:type="gramEnd"/>
      <w:r w:rsidRPr="000234C5">
        <w:rPr>
          <w:sz w:val="22"/>
          <w:szCs w:val="22"/>
        </w:rPr>
        <w:t xml:space="preserve"> перестанут соответствовать требованиям каких-либо нормативных правовых актов, Управляющая компания будет руководствоваться требованиями соответствующих нормативных правовых актов вплоть до внесения необходимых изменений в настоящую Инвестиционную декларацию.</w:t>
      </w:r>
    </w:p>
    <w:p w:rsidR="004607BD" w:rsidRPr="000234C5" w:rsidRDefault="004607BD" w:rsidP="004607BD">
      <w:pPr>
        <w:numPr>
          <w:ilvl w:val="0"/>
          <w:numId w:val="1"/>
        </w:numPr>
        <w:tabs>
          <w:tab w:val="clear" w:pos="1260"/>
          <w:tab w:val="num" w:pos="360"/>
          <w:tab w:val="left" w:pos="720"/>
        </w:tabs>
        <w:ind w:left="360" w:hanging="360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Описание рисков, связанных с инвестированием средств компенсационного фонда в активы, указанные в пункте 5 настоящей Инвестиционной декларации:</w:t>
      </w:r>
    </w:p>
    <w:p w:rsidR="004607BD" w:rsidRPr="000234C5" w:rsidRDefault="004607BD" w:rsidP="004607BD">
      <w:pPr>
        <w:tabs>
          <w:tab w:val="left" w:pos="720"/>
        </w:tabs>
        <w:spacing w:before="120"/>
        <w:ind w:left="714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−</w:t>
      </w:r>
      <w:r w:rsidRPr="000234C5">
        <w:rPr>
          <w:sz w:val="22"/>
          <w:szCs w:val="22"/>
        </w:rPr>
        <w:tab/>
        <w:t>Правовой риск. Возможность потерь от инвестирования в активы в связи с появлением новых или изменением существующих нормативных правовых актов. Правовой ри</w:t>
      </w:r>
      <w:proofErr w:type="gramStart"/>
      <w:r w:rsidRPr="000234C5">
        <w:rPr>
          <w:sz w:val="22"/>
          <w:szCs w:val="22"/>
        </w:rPr>
        <w:t>ск вкл</w:t>
      </w:r>
      <w:proofErr w:type="gramEnd"/>
      <w:r w:rsidRPr="000234C5">
        <w:rPr>
          <w:sz w:val="22"/>
          <w:szCs w:val="22"/>
        </w:rPr>
        <w:t>ючает в себя также возможные потери в связи с наличием противоречий между нормативными правовыми актами, а также возможность их двойственной трактовки, что создает риск некорректного применения нормативных актов;</w:t>
      </w:r>
    </w:p>
    <w:p w:rsidR="004607BD" w:rsidRPr="000234C5" w:rsidRDefault="004607BD" w:rsidP="004607BD">
      <w:pPr>
        <w:pStyle w:val="a3"/>
        <w:tabs>
          <w:tab w:val="left" w:pos="720"/>
        </w:tabs>
        <w:suppressAutoHyphens/>
        <w:spacing w:before="60"/>
        <w:ind w:left="720" w:hanging="36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234C5">
        <w:rPr>
          <w:rFonts w:ascii="Times New Roman" w:hAnsi="Times New Roman"/>
          <w:sz w:val="22"/>
          <w:szCs w:val="22"/>
        </w:rPr>
        <w:t>−</w:t>
      </w:r>
      <w:r w:rsidRPr="000234C5">
        <w:rPr>
          <w:rFonts w:ascii="Times New Roman" w:hAnsi="Times New Roman"/>
          <w:sz w:val="22"/>
          <w:szCs w:val="22"/>
        </w:rPr>
        <w:tab/>
        <w:t>Риск, связанный с размещением сре</w:t>
      </w:r>
      <w:proofErr w:type="gramStart"/>
      <w:r w:rsidRPr="000234C5">
        <w:rPr>
          <w:rFonts w:ascii="Times New Roman" w:hAnsi="Times New Roman"/>
          <w:sz w:val="22"/>
          <w:szCs w:val="22"/>
        </w:rPr>
        <w:t>дств в б</w:t>
      </w:r>
      <w:proofErr w:type="gramEnd"/>
      <w:r w:rsidRPr="000234C5">
        <w:rPr>
          <w:rFonts w:ascii="Times New Roman" w:hAnsi="Times New Roman"/>
          <w:sz w:val="22"/>
          <w:szCs w:val="22"/>
        </w:rPr>
        <w:t xml:space="preserve">анковские депозиты (вклады) и расчетный риск. </w:t>
      </w:r>
      <w:r w:rsidRPr="000234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Существует риск задержки платежей при переводе средств внутри страны, риск невозврата банком суммы вклада и /или процентов по нему;</w:t>
      </w:r>
    </w:p>
    <w:p w:rsidR="004607BD" w:rsidRPr="000234C5" w:rsidRDefault="004607BD" w:rsidP="004607BD">
      <w:pPr>
        <w:pStyle w:val="a3"/>
        <w:tabs>
          <w:tab w:val="left" w:pos="720"/>
        </w:tabs>
        <w:suppressAutoHyphens/>
        <w:spacing w:before="60"/>
        <w:ind w:left="720" w:hanging="360"/>
        <w:rPr>
          <w:rFonts w:ascii="Times New Roman" w:hAnsi="Times New Roman"/>
          <w:sz w:val="22"/>
          <w:szCs w:val="22"/>
        </w:rPr>
      </w:pPr>
      <w:r w:rsidRPr="000234C5">
        <w:rPr>
          <w:rFonts w:ascii="Times New Roman" w:hAnsi="Times New Roman"/>
          <w:sz w:val="22"/>
          <w:szCs w:val="22"/>
        </w:rPr>
        <w:lastRenderedPageBreak/>
        <w:t>−</w:t>
      </w:r>
      <w:r w:rsidRPr="000234C5">
        <w:rPr>
          <w:rFonts w:ascii="Times New Roman" w:hAnsi="Times New Roman"/>
          <w:sz w:val="22"/>
          <w:szCs w:val="22"/>
        </w:rPr>
        <w:tab/>
        <w:t xml:space="preserve">Риск эмитента. </w:t>
      </w:r>
      <w:r w:rsidRPr="000234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При инвестировании сре</w:t>
      </w:r>
      <w:proofErr w:type="gramStart"/>
      <w:r w:rsidRPr="000234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дств в г</w:t>
      </w:r>
      <w:proofErr w:type="gramEnd"/>
      <w:r w:rsidRPr="000234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осударственные облигации существует риск дефолта эмитента. Отказ государства от обслуживания своих долговых обязатель</w:t>
      </w:r>
      <w:proofErr w:type="gramStart"/>
      <w:r w:rsidRPr="000234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ств сл</w:t>
      </w:r>
      <w:proofErr w:type="gramEnd"/>
      <w:r w:rsidRPr="000234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учается достаточно редко и связан с обстоятельствами непреодолимой силы. Управляющая компания прилагает все усилия для уменьш</w:t>
      </w:r>
      <w:r w:rsidRPr="000234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е</w:t>
      </w:r>
      <w:r w:rsidRPr="000234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ния риска дефолта, приобретая ценные бумаги наиболее надежных эмитентов. Риск банкротства эмитента может привести к обесценению бумаги (вплоть до полной потери стоимости в случае с акциями) или к невозможности возврата ее номинальной стоимости (в случае с долговыми ценными бумагами);</w:t>
      </w:r>
    </w:p>
    <w:p w:rsidR="004607BD" w:rsidRPr="000234C5" w:rsidRDefault="004607BD" w:rsidP="004607BD">
      <w:pPr>
        <w:tabs>
          <w:tab w:val="left" w:pos="720"/>
        </w:tabs>
        <w:spacing w:before="120"/>
        <w:ind w:left="714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−</w:t>
      </w:r>
      <w:r w:rsidRPr="000234C5">
        <w:rPr>
          <w:sz w:val="22"/>
          <w:szCs w:val="22"/>
        </w:rPr>
        <w:tab/>
        <w:t>Рыночный риск. Может проявляться в неожиданном изменении цен на активы, что может повлечь за собой снижение стоимости инвестиций и, как следствие, снижение доходности или даже прямые убытки;</w:t>
      </w:r>
    </w:p>
    <w:p w:rsidR="004607BD" w:rsidRPr="000234C5" w:rsidRDefault="004607BD" w:rsidP="004607BD">
      <w:pPr>
        <w:tabs>
          <w:tab w:val="left" w:pos="720"/>
        </w:tabs>
        <w:spacing w:before="120"/>
        <w:ind w:left="714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−</w:t>
      </w:r>
      <w:r w:rsidRPr="000234C5">
        <w:rPr>
          <w:sz w:val="22"/>
          <w:szCs w:val="22"/>
        </w:rPr>
        <w:tab/>
        <w:t xml:space="preserve">Риск потери ликвидности. Связан </w:t>
      </w:r>
      <w:proofErr w:type="gramStart"/>
      <w:r w:rsidRPr="000234C5">
        <w:rPr>
          <w:sz w:val="22"/>
          <w:szCs w:val="22"/>
        </w:rPr>
        <w:t>с возможностью потерь при продаже ценных бумаг в связи с отсутствием предложений по покупке</w:t>
      </w:r>
      <w:proofErr w:type="gramEnd"/>
      <w:r w:rsidRPr="000234C5">
        <w:rPr>
          <w:sz w:val="22"/>
          <w:szCs w:val="22"/>
        </w:rPr>
        <w:t xml:space="preserve"> данных бумаг. Данный риск может пр</w:t>
      </w:r>
      <w:r w:rsidRPr="000234C5">
        <w:rPr>
          <w:sz w:val="22"/>
          <w:szCs w:val="22"/>
        </w:rPr>
        <w:t>о</w:t>
      </w:r>
      <w:r w:rsidRPr="000234C5">
        <w:rPr>
          <w:sz w:val="22"/>
          <w:szCs w:val="22"/>
        </w:rPr>
        <w:t>явиться, в частности, в случае необходимости быстрого вывода инвестированных сре</w:t>
      </w:r>
      <w:proofErr w:type="gramStart"/>
      <w:r w:rsidRPr="000234C5">
        <w:rPr>
          <w:sz w:val="22"/>
          <w:szCs w:val="22"/>
        </w:rPr>
        <w:t>дств с ф</w:t>
      </w:r>
      <w:proofErr w:type="gramEnd"/>
      <w:r w:rsidRPr="000234C5">
        <w:rPr>
          <w:sz w:val="22"/>
          <w:szCs w:val="22"/>
        </w:rPr>
        <w:t>ондового рынка (например, при ликвидации клиентом портфеля ценных бумаг);</w:t>
      </w:r>
    </w:p>
    <w:p w:rsidR="004607BD" w:rsidRPr="000234C5" w:rsidRDefault="004607BD" w:rsidP="004607BD">
      <w:pPr>
        <w:tabs>
          <w:tab w:val="left" w:pos="720"/>
        </w:tabs>
        <w:spacing w:before="120"/>
        <w:ind w:left="714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−</w:t>
      </w:r>
      <w:r w:rsidRPr="000234C5">
        <w:rPr>
          <w:sz w:val="22"/>
          <w:szCs w:val="22"/>
        </w:rPr>
        <w:tab/>
        <w:t>Валютный риск. Связан с возможным неблагоприятным изменением курса рубля по отнош</w:t>
      </w:r>
      <w:r w:rsidRPr="000234C5">
        <w:rPr>
          <w:sz w:val="22"/>
          <w:szCs w:val="22"/>
        </w:rPr>
        <w:t>е</w:t>
      </w:r>
      <w:r w:rsidRPr="000234C5">
        <w:rPr>
          <w:sz w:val="22"/>
          <w:szCs w:val="22"/>
        </w:rPr>
        <w:t>нию к иностранным валютам (американскому доллару, евро) вследствие чего средства компенсационного фонда м</w:t>
      </w:r>
      <w:r w:rsidRPr="000234C5">
        <w:rPr>
          <w:sz w:val="22"/>
          <w:szCs w:val="22"/>
        </w:rPr>
        <w:t>о</w:t>
      </w:r>
      <w:r w:rsidRPr="000234C5">
        <w:rPr>
          <w:sz w:val="22"/>
          <w:szCs w:val="22"/>
        </w:rPr>
        <w:t xml:space="preserve">гут быть подвержены инфляционному воздействию; </w:t>
      </w:r>
    </w:p>
    <w:p w:rsidR="004607BD" w:rsidRPr="000234C5" w:rsidRDefault="004607BD" w:rsidP="004607BD">
      <w:pPr>
        <w:tabs>
          <w:tab w:val="left" w:pos="720"/>
        </w:tabs>
        <w:spacing w:before="120"/>
        <w:ind w:left="714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−</w:t>
      </w:r>
      <w:r w:rsidRPr="000234C5">
        <w:rPr>
          <w:sz w:val="22"/>
          <w:szCs w:val="22"/>
        </w:rPr>
        <w:tab/>
        <w:t>Экономические риски. Россия относится к странам с развивающейся экономикой. Механизмы, призванные обесп</w:t>
      </w:r>
      <w:r w:rsidRPr="000234C5">
        <w:rPr>
          <w:sz w:val="22"/>
          <w:szCs w:val="22"/>
        </w:rPr>
        <w:t>е</w:t>
      </w:r>
      <w:r w:rsidRPr="000234C5">
        <w:rPr>
          <w:sz w:val="22"/>
          <w:szCs w:val="22"/>
        </w:rPr>
        <w:t>чивать стабильное экономическое развитие, находятся в стадии формирования. Россия имеет также большую внешнюю задолженность, на обслуживание которой отвлекаются зн</w:t>
      </w:r>
      <w:r w:rsidRPr="000234C5">
        <w:rPr>
          <w:sz w:val="22"/>
          <w:szCs w:val="22"/>
        </w:rPr>
        <w:t>а</w:t>
      </w:r>
      <w:r w:rsidRPr="000234C5">
        <w:rPr>
          <w:sz w:val="22"/>
          <w:szCs w:val="22"/>
        </w:rPr>
        <w:t>чительные ресурсы;</w:t>
      </w:r>
      <w:r w:rsidRPr="000234C5">
        <w:rPr>
          <w:sz w:val="22"/>
          <w:szCs w:val="22"/>
        </w:rPr>
        <w:tab/>
      </w:r>
      <w:r w:rsidRPr="000234C5">
        <w:rPr>
          <w:sz w:val="22"/>
          <w:szCs w:val="22"/>
        </w:rPr>
        <w:tab/>
      </w:r>
    </w:p>
    <w:p w:rsidR="004607BD" w:rsidRPr="000234C5" w:rsidRDefault="004607BD" w:rsidP="004607BD">
      <w:pPr>
        <w:tabs>
          <w:tab w:val="left" w:pos="720"/>
        </w:tabs>
        <w:spacing w:before="120"/>
        <w:ind w:left="714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−</w:t>
      </w:r>
      <w:r w:rsidRPr="000234C5">
        <w:rPr>
          <w:sz w:val="22"/>
          <w:szCs w:val="22"/>
        </w:rPr>
        <w:tab/>
        <w:t>Риски, связанные с налогообложением. Налоговая система Российской Федерации находится в процессе развития и подвержена разли</w:t>
      </w:r>
      <w:r w:rsidRPr="000234C5">
        <w:rPr>
          <w:sz w:val="22"/>
          <w:szCs w:val="22"/>
        </w:rPr>
        <w:t>ч</w:t>
      </w:r>
      <w:r w:rsidRPr="000234C5">
        <w:rPr>
          <w:sz w:val="22"/>
          <w:szCs w:val="22"/>
        </w:rPr>
        <w:t xml:space="preserve">ным толкованиям и постоянным изменениям. В результате, сегодняшняя трактовка и толкование существующих законов и порядков могут быть </w:t>
      </w:r>
      <w:proofErr w:type="gramStart"/>
      <w:r w:rsidRPr="000234C5">
        <w:rPr>
          <w:sz w:val="22"/>
          <w:szCs w:val="22"/>
        </w:rPr>
        <w:t>изменены</w:t>
      </w:r>
      <w:proofErr w:type="gramEnd"/>
      <w:r w:rsidRPr="000234C5">
        <w:rPr>
          <w:sz w:val="22"/>
          <w:szCs w:val="22"/>
        </w:rPr>
        <w:t xml:space="preserve"> в будущем. Ассоциация «РСО ПАУ» должна учитывать риски, связа</w:t>
      </w:r>
      <w:r w:rsidRPr="000234C5">
        <w:rPr>
          <w:sz w:val="22"/>
          <w:szCs w:val="22"/>
        </w:rPr>
        <w:t>н</w:t>
      </w:r>
      <w:r w:rsidRPr="000234C5">
        <w:rPr>
          <w:sz w:val="22"/>
          <w:szCs w:val="22"/>
        </w:rPr>
        <w:t>ные с налогообложением при размещении средств компенсационного фонда;</w:t>
      </w:r>
    </w:p>
    <w:p w:rsidR="004607BD" w:rsidRPr="000234C5" w:rsidRDefault="004607BD" w:rsidP="004607BD">
      <w:pPr>
        <w:tabs>
          <w:tab w:val="left" w:pos="720"/>
        </w:tabs>
        <w:spacing w:before="120"/>
        <w:ind w:left="714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−</w:t>
      </w:r>
      <w:r w:rsidRPr="000234C5">
        <w:rPr>
          <w:sz w:val="22"/>
          <w:szCs w:val="22"/>
        </w:rPr>
        <w:tab/>
        <w:t xml:space="preserve">Риски, связанные с использованием </w:t>
      </w:r>
      <w:proofErr w:type="gramStart"/>
      <w:r w:rsidRPr="000234C5">
        <w:rPr>
          <w:sz w:val="22"/>
          <w:szCs w:val="22"/>
        </w:rPr>
        <w:t>электронных</w:t>
      </w:r>
      <w:proofErr w:type="gramEnd"/>
      <w:r w:rsidRPr="000234C5">
        <w:rPr>
          <w:sz w:val="22"/>
          <w:szCs w:val="22"/>
        </w:rPr>
        <w:t xml:space="preserve"> и интернет-технологий. Характеризуются возможностью возникновения нарушений в нормальном функционировании систем обеспечения торгов (неисправности и сбои в работе оборудования, программного обе</w:t>
      </w:r>
      <w:r w:rsidRPr="000234C5">
        <w:rPr>
          <w:sz w:val="22"/>
          <w:szCs w:val="22"/>
        </w:rPr>
        <w:t>с</w:t>
      </w:r>
      <w:r w:rsidRPr="000234C5">
        <w:rPr>
          <w:sz w:val="22"/>
          <w:szCs w:val="22"/>
        </w:rPr>
        <w:t>печения, энергоснабжения и т.п.);</w:t>
      </w:r>
    </w:p>
    <w:p w:rsidR="004607BD" w:rsidRPr="000234C5" w:rsidRDefault="004607BD" w:rsidP="004607BD">
      <w:pPr>
        <w:tabs>
          <w:tab w:val="left" w:pos="720"/>
        </w:tabs>
        <w:spacing w:before="120"/>
        <w:ind w:left="714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−</w:t>
      </w:r>
      <w:r w:rsidRPr="000234C5">
        <w:rPr>
          <w:sz w:val="22"/>
          <w:szCs w:val="22"/>
        </w:rPr>
        <w:tab/>
        <w:t>Системный риск. Связан с потенциальной неспособностью большого числа финансовых институтов выполнять свои обязательства;</w:t>
      </w:r>
    </w:p>
    <w:p w:rsidR="004607BD" w:rsidRPr="000234C5" w:rsidRDefault="004607BD" w:rsidP="004607BD">
      <w:pPr>
        <w:tabs>
          <w:tab w:val="left" w:pos="720"/>
        </w:tabs>
        <w:spacing w:before="120"/>
        <w:ind w:left="714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−</w:t>
      </w:r>
      <w:r w:rsidRPr="000234C5">
        <w:rPr>
          <w:sz w:val="22"/>
          <w:szCs w:val="22"/>
        </w:rPr>
        <w:tab/>
        <w:t>Кредитный риск. Заключается в отказе контрагента от выполнения своих обязатель</w:t>
      </w:r>
      <w:proofErr w:type="gramStart"/>
      <w:r w:rsidRPr="000234C5">
        <w:rPr>
          <w:sz w:val="22"/>
          <w:szCs w:val="22"/>
        </w:rPr>
        <w:t>ств в сл</w:t>
      </w:r>
      <w:proofErr w:type="gramEnd"/>
      <w:r w:rsidRPr="000234C5">
        <w:rPr>
          <w:sz w:val="22"/>
          <w:szCs w:val="22"/>
        </w:rPr>
        <w:t>учае неблагоприятного для него изменения рыночных условий;</w:t>
      </w:r>
    </w:p>
    <w:p w:rsidR="004607BD" w:rsidRPr="000234C5" w:rsidRDefault="004607BD" w:rsidP="004607BD">
      <w:pPr>
        <w:tabs>
          <w:tab w:val="left" w:pos="720"/>
        </w:tabs>
        <w:spacing w:before="120"/>
        <w:ind w:left="714" w:hanging="357"/>
        <w:jc w:val="both"/>
        <w:rPr>
          <w:sz w:val="22"/>
          <w:szCs w:val="22"/>
        </w:rPr>
      </w:pPr>
      <w:r w:rsidRPr="000234C5">
        <w:rPr>
          <w:sz w:val="22"/>
          <w:szCs w:val="22"/>
        </w:rPr>
        <w:t>−</w:t>
      </w:r>
      <w:r w:rsidRPr="000234C5">
        <w:rPr>
          <w:sz w:val="22"/>
          <w:szCs w:val="22"/>
        </w:rPr>
        <w:tab/>
        <w:t xml:space="preserve">Операционный риск.  Данный риск заключается в возможности ошибочных действий третьих лиц и их мошеннических действий в процессе обработки транзакций, осуществления операций, связанных с хранением ценных бумаг и денежных средств, проведения расчетов и клиринга, либо их неправомерных действий в отношении имущества и охраняемых законом прав инвестора. </w:t>
      </w:r>
      <w:proofErr w:type="gramStart"/>
      <w:r w:rsidRPr="000234C5">
        <w:rPr>
          <w:sz w:val="22"/>
          <w:szCs w:val="22"/>
        </w:rPr>
        <w:t>К указанным третьим лицам, в частности, относятся: биржи, депозитарии, специализированные депозитарии, регистраторы, клиринговые и расчетные системы, эмитенты.</w:t>
      </w:r>
      <w:proofErr w:type="gramEnd"/>
    </w:p>
    <w:p w:rsidR="004607BD" w:rsidRPr="000234C5" w:rsidRDefault="004607BD" w:rsidP="004607BD">
      <w:pPr>
        <w:pStyle w:val="6"/>
        <w:numPr>
          <w:ilvl w:val="0"/>
          <w:numId w:val="1"/>
        </w:numPr>
        <w:tabs>
          <w:tab w:val="clear" w:pos="9923"/>
          <w:tab w:val="num" w:pos="360"/>
          <w:tab w:val="num" w:pos="567"/>
        </w:tabs>
        <w:spacing w:before="120"/>
        <w:ind w:left="358" w:hanging="358"/>
        <w:rPr>
          <w:rFonts w:ascii="Times New Roman" w:hAnsi="Times New Roman"/>
          <w:b w:val="0"/>
          <w:sz w:val="22"/>
          <w:szCs w:val="22"/>
        </w:rPr>
      </w:pPr>
      <w:r w:rsidRPr="000234C5">
        <w:rPr>
          <w:rFonts w:ascii="Times New Roman" w:hAnsi="Times New Roman"/>
          <w:b w:val="0"/>
          <w:bCs w:val="0"/>
          <w:sz w:val="22"/>
          <w:szCs w:val="22"/>
        </w:rPr>
        <w:t>Н</w:t>
      </w:r>
      <w:r w:rsidRPr="000234C5">
        <w:rPr>
          <w:rFonts w:ascii="Times New Roman" w:hAnsi="Times New Roman"/>
          <w:b w:val="0"/>
          <w:bCs w:val="0"/>
          <w:sz w:val="22"/>
          <w:szCs w:val="22"/>
        </w:rPr>
        <w:t>а</w:t>
      </w:r>
      <w:r w:rsidRPr="000234C5">
        <w:rPr>
          <w:rFonts w:ascii="Times New Roman" w:hAnsi="Times New Roman"/>
          <w:b w:val="0"/>
          <w:bCs w:val="0"/>
          <w:sz w:val="22"/>
          <w:szCs w:val="22"/>
        </w:rPr>
        <w:t>стоящая Инвестиционная</w:t>
      </w:r>
      <w:r w:rsidRPr="000234C5">
        <w:rPr>
          <w:rFonts w:ascii="Times New Roman" w:hAnsi="Times New Roman"/>
          <w:b w:val="0"/>
          <w:sz w:val="22"/>
          <w:szCs w:val="22"/>
        </w:rPr>
        <w:t xml:space="preserve"> декларация действует в течение срока действия Договора, заключенного с Управляющей компанией.</w:t>
      </w:r>
    </w:p>
    <w:p w:rsidR="004607BD" w:rsidRPr="000234C5" w:rsidRDefault="004607BD" w:rsidP="004607BD">
      <w:pPr>
        <w:pStyle w:val="6"/>
        <w:numPr>
          <w:ilvl w:val="0"/>
          <w:numId w:val="1"/>
        </w:numPr>
        <w:tabs>
          <w:tab w:val="clear" w:pos="9923"/>
          <w:tab w:val="num" w:pos="360"/>
          <w:tab w:val="num" w:pos="567"/>
        </w:tabs>
        <w:spacing w:before="120"/>
        <w:ind w:left="358" w:hanging="358"/>
        <w:rPr>
          <w:rFonts w:ascii="Times New Roman" w:hAnsi="Times New Roman"/>
          <w:b w:val="0"/>
          <w:bCs w:val="0"/>
          <w:sz w:val="22"/>
          <w:szCs w:val="22"/>
        </w:rPr>
      </w:pPr>
      <w:r w:rsidRPr="000234C5">
        <w:rPr>
          <w:rFonts w:ascii="Times New Roman" w:hAnsi="Times New Roman"/>
          <w:b w:val="0"/>
          <w:bCs w:val="0"/>
          <w:sz w:val="22"/>
          <w:szCs w:val="22"/>
        </w:rPr>
        <w:t>Ассоциация «РСО ПАУ» вправе с согласия Управляющей компании изменить Инвестиционную декларацию. Изменения к Инвестиционной декларации оформляются в виде дополнительного соглашения к Договору и подписыв</w:t>
      </w:r>
      <w:r w:rsidRPr="000234C5">
        <w:rPr>
          <w:rFonts w:ascii="Times New Roman" w:hAnsi="Times New Roman"/>
          <w:b w:val="0"/>
          <w:bCs w:val="0"/>
          <w:sz w:val="22"/>
          <w:szCs w:val="22"/>
        </w:rPr>
        <w:t>а</w:t>
      </w:r>
      <w:r w:rsidRPr="000234C5">
        <w:rPr>
          <w:rFonts w:ascii="Times New Roman" w:hAnsi="Times New Roman"/>
          <w:b w:val="0"/>
          <w:bCs w:val="0"/>
          <w:sz w:val="22"/>
          <w:szCs w:val="22"/>
        </w:rPr>
        <w:t>ются обеими Сторонами.</w:t>
      </w:r>
    </w:p>
    <w:p w:rsidR="004607BD" w:rsidRDefault="004607BD" w:rsidP="004607BD">
      <w:pPr>
        <w:pStyle w:val="a5"/>
        <w:ind w:left="1260"/>
        <w:jc w:val="both"/>
        <w:rPr>
          <w:b/>
          <w:sz w:val="22"/>
          <w:szCs w:val="22"/>
        </w:rPr>
      </w:pPr>
    </w:p>
    <w:p w:rsidR="004607BD" w:rsidRDefault="004607BD" w:rsidP="004607BD">
      <w:pPr>
        <w:pStyle w:val="a5"/>
        <w:ind w:left="1260"/>
        <w:jc w:val="both"/>
        <w:rPr>
          <w:b/>
          <w:sz w:val="22"/>
          <w:szCs w:val="22"/>
        </w:rPr>
      </w:pPr>
    </w:p>
    <w:p w:rsidR="004607BD" w:rsidRDefault="004607BD" w:rsidP="004607BD">
      <w:pPr>
        <w:pStyle w:val="a5"/>
        <w:ind w:left="1260"/>
        <w:jc w:val="both"/>
        <w:rPr>
          <w:b/>
          <w:sz w:val="22"/>
          <w:szCs w:val="22"/>
        </w:rPr>
      </w:pPr>
    </w:p>
    <w:p w:rsidR="00C404FD" w:rsidRDefault="004607BD" w:rsidP="004607BD">
      <w:pPr>
        <w:pStyle w:val="a5"/>
        <w:ind w:left="1260"/>
        <w:jc w:val="both"/>
      </w:pPr>
      <w:bookmarkStart w:id="0" w:name="_GoBack"/>
      <w:bookmarkEnd w:id="0"/>
      <w:r w:rsidRPr="004607BD">
        <w:rPr>
          <w:b/>
          <w:sz w:val="22"/>
          <w:szCs w:val="22"/>
        </w:rPr>
        <w:t>Президент</w:t>
      </w:r>
      <w:r>
        <w:rPr>
          <w:b/>
          <w:sz w:val="22"/>
          <w:szCs w:val="22"/>
        </w:rPr>
        <w:t xml:space="preserve"> Ассоциации «РСОПАУ»</w:t>
      </w:r>
      <w:r w:rsidRPr="004607BD">
        <w:rPr>
          <w:sz w:val="22"/>
          <w:szCs w:val="22"/>
        </w:rPr>
        <w:t xml:space="preserve">______________________/ </w:t>
      </w:r>
      <w:proofErr w:type="spellStart"/>
      <w:r w:rsidRPr="004607BD">
        <w:rPr>
          <w:sz w:val="22"/>
          <w:szCs w:val="22"/>
        </w:rPr>
        <w:t>Сырвачева</w:t>
      </w:r>
      <w:proofErr w:type="spellEnd"/>
      <w:r w:rsidRPr="004607BD">
        <w:rPr>
          <w:sz w:val="22"/>
          <w:szCs w:val="22"/>
        </w:rPr>
        <w:t xml:space="preserve"> Л.М./</w:t>
      </w:r>
    </w:p>
    <w:sectPr w:rsidR="00C4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329"/>
    <w:multiLevelType w:val="singleLevel"/>
    <w:tmpl w:val="114283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</w:abstractNum>
  <w:abstractNum w:abstractNumId="1">
    <w:nsid w:val="10EC5AF0"/>
    <w:multiLevelType w:val="hybridMultilevel"/>
    <w:tmpl w:val="C68226E4"/>
    <w:lvl w:ilvl="0" w:tplc="06648D88">
      <w:start w:val="1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BD"/>
    <w:rsid w:val="004607BD"/>
    <w:rsid w:val="00C4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607BD"/>
    <w:pPr>
      <w:keepNext/>
      <w:tabs>
        <w:tab w:val="right" w:pos="9923"/>
      </w:tabs>
      <w:jc w:val="both"/>
      <w:outlineLvl w:val="5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607BD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styleId="a3">
    <w:name w:val="Body Text"/>
    <w:basedOn w:val="a"/>
    <w:link w:val="a4"/>
    <w:rsid w:val="004607BD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4607B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 Знак Знак Знак Знак Знак Знак1 Знак Знак Знак Знак Знак Знак Знак Знак"/>
    <w:basedOn w:val="a"/>
    <w:rsid w:val="004607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460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607BD"/>
    <w:pPr>
      <w:keepNext/>
      <w:tabs>
        <w:tab w:val="right" w:pos="9923"/>
      </w:tabs>
      <w:jc w:val="both"/>
      <w:outlineLvl w:val="5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607BD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styleId="a3">
    <w:name w:val="Body Text"/>
    <w:basedOn w:val="a"/>
    <w:link w:val="a4"/>
    <w:rsid w:val="004607BD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4607B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 Знак Знак Знак Знак Знак Знак1 Знак Знак Знак Знак Знак Знак Знак Знак"/>
    <w:basedOn w:val="a"/>
    <w:rsid w:val="004607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46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2019-05-07T14:10:00Z</dcterms:created>
  <dcterms:modified xsi:type="dcterms:W3CDTF">2019-05-07T14:12:00Z</dcterms:modified>
</cp:coreProperties>
</file>